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20"/>
          <w:tab w:val="left" w:pos="3390" w:leader="none"/>
          <w:tab w:val="center" w:pos="5032" w:leader="none"/>
        </w:tabs>
        <w:spacing w:lineRule="auto" w:line="276" w:before="57" w:after="57"/>
        <w:ind w:left="0" w:right="0"/>
        <w:jc w:val="center"/>
        <w:rPr>
          <w:rFonts w:ascii="Verdana" w:hAnsi="Verdana" w:eastAsia="Arial" w:cs="Arial"/>
          <w:b/>
          <w:sz w:val="20"/>
          <w:szCs w:val="20"/>
          <w:u w:val="single"/>
        </w:rPr>
      </w:pPr>
      <w:r>
        <w:rPr>
          <w:rFonts w:eastAsia="Arial" w:cs="Arial" w:ascii="Verdana" w:hAnsi="Verdana"/>
          <w:b/>
          <w:sz w:val="20"/>
          <w:szCs w:val="20"/>
          <w:u w:val="single"/>
        </w:rPr>
        <w:t>ESTUDO TÉCNICO PRELIMINAR</w:t>
      </w:r>
    </w:p>
    <w:p>
      <w:pPr>
        <w:pStyle w:val="Normal"/>
        <w:tabs>
          <w:tab w:val="clear" w:pos="720"/>
          <w:tab w:val="left" w:pos="3390" w:leader="none"/>
          <w:tab w:val="center" w:pos="5032" w:leader="none"/>
        </w:tabs>
        <w:spacing w:lineRule="auto" w:line="276" w:before="57" w:after="57"/>
        <w:ind w:left="0" w:right="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20"/>
          <w:tab w:val="left" w:pos="3390" w:leader="none"/>
          <w:tab w:val="center" w:pos="5032" w:leader="none"/>
        </w:tabs>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t>1. INFORMAÇÕES BÁSICAS</w:t>
      </w:r>
    </w:p>
    <w:p>
      <w:pPr>
        <w:pStyle w:val="ListParagraph"/>
        <w:tabs>
          <w:tab w:val="clear" w:pos="720"/>
          <w:tab w:val="left" w:pos="3390" w:leader="none"/>
          <w:tab w:val="center" w:pos="5032" w:leader="none"/>
        </w:tabs>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t xml:space="preserve">1.1. Processo Administrativo nº ______/2025. </w:t>
      </w:r>
    </w:p>
    <w:p>
      <w:pPr>
        <w:pStyle w:val="ListParagraph"/>
        <w:tabs>
          <w:tab w:val="clear" w:pos="720"/>
          <w:tab w:val="left" w:pos="3390" w:leader="none"/>
          <w:tab w:val="center" w:pos="5032" w:leader="none"/>
        </w:tabs>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r>
    </w:p>
    <w:p>
      <w:pPr>
        <w:pStyle w:val="Normal"/>
        <w:tabs>
          <w:tab w:val="clear" w:pos="720"/>
          <w:tab w:val="left" w:pos="3390" w:leader="none"/>
          <w:tab w:val="center" w:pos="5032" w:leader="none"/>
        </w:tabs>
        <w:spacing w:lineRule="auto" w:line="276" w:before="57" w:after="57"/>
        <w:ind w:left="0" w:right="0"/>
        <w:jc w:val="both"/>
        <w:rPr>
          <w:rFonts w:ascii="Verdana" w:hAnsi="Verdana"/>
          <w:sz w:val="20"/>
          <w:szCs w:val="20"/>
        </w:rPr>
      </w:pPr>
      <w:r>
        <w:rPr>
          <w:rFonts w:ascii="Verdana" w:hAnsi="Verdana"/>
          <w:b/>
          <w:sz w:val="20"/>
          <w:szCs w:val="20"/>
        </w:rPr>
        <w:t>Contratação de empresa para confecção de uniformes dos servidores da Secretaria de Educação</w:t>
      </w:r>
      <w:r>
        <w:rPr>
          <w:rFonts w:ascii="Verdana" w:hAnsi="Verdana"/>
          <w:sz w:val="20"/>
          <w:szCs w:val="20"/>
        </w:rPr>
        <w:t>, através de registro de preços, com vigência de</w:t>
      </w:r>
      <w:r>
        <w:rPr>
          <w:rFonts w:ascii="Verdana" w:hAnsi="Verdana"/>
          <w:b/>
          <w:sz w:val="20"/>
          <w:szCs w:val="20"/>
        </w:rPr>
        <w:t xml:space="preserve"> 12 meses a partir da assinatura da ata de registro de preços.</w:t>
      </w:r>
    </w:p>
    <w:p>
      <w:pPr>
        <w:pStyle w:val="Normal"/>
        <w:tabs>
          <w:tab w:val="clear" w:pos="720"/>
          <w:tab w:val="left" w:pos="3390" w:leader="none"/>
          <w:tab w:val="center" w:pos="5032" w:leader="none"/>
        </w:tabs>
        <w:spacing w:lineRule="auto" w:line="276" w:before="57" w:after="57"/>
        <w:ind w:left="0" w:right="0"/>
        <w:jc w:val="both"/>
        <w:rPr>
          <w:rFonts w:ascii="Verdana" w:hAnsi="Verdana" w:eastAsia="Arial" w:cs="Arial"/>
          <w:sz w:val="20"/>
          <w:szCs w:val="20"/>
        </w:rPr>
      </w:pPr>
      <w:r>
        <w:rPr>
          <w:rFonts w:eastAsia="Arial" w:cs="Arial" w:ascii="Verdana" w:hAnsi="Verdana"/>
          <w:sz w:val="20"/>
          <w:szCs w:val="20"/>
        </w:rPr>
      </w:r>
    </w:p>
    <w:p>
      <w:pPr>
        <w:pStyle w:val="ListParagraph"/>
        <w:tabs>
          <w:tab w:val="clear" w:pos="720"/>
          <w:tab w:val="left" w:pos="3390" w:leader="none"/>
          <w:tab w:val="center" w:pos="5032" w:leader="none"/>
        </w:tabs>
        <w:spacing w:lineRule="auto" w:line="276" w:before="57" w:after="57"/>
        <w:ind w:left="0" w:right="0"/>
        <w:jc w:val="both"/>
        <w:rPr>
          <w:rFonts w:ascii="Verdana" w:hAnsi="Verdana" w:eastAsia="Arial" w:cs="Arial"/>
          <w:sz w:val="20"/>
          <w:szCs w:val="20"/>
        </w:rPr>
      </w:pPr>
      <w:r>
        <w:rPr>
          <w:rFonts w:eastAsia="Arial" w:cs="Arial" w:ascii="Verdana" w:hAnsi="Verdana"/>
          <w:sz w:val="20"/>
          <w:szCs w:val="20"/>
        </w:rPr>
        <w:t>Este documento consiste em Estudos Preliminares necessários para assegurar a viabilidade da contratação, mensurar os riscos, determinar uma estratégia de contratação e fornecer subsídios para a elaboração do Termo de Referência/Projeto Básico, bem como definir um plano de sustentação para a solução contratada.</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2. LOCAL DE ENTREGA</w:t>
      </w:r>
    </w:p>
    <w:p>
      <w:pPr>
        <w:pStyle w:val="Normal"/>
        <w:spacing w:lineRule="auto" w:line="276" w:before="57" w:after="57"/>
        <w:ind w:left="0" w:right="0"/>
        <w:jc w:val="both"/>
        <w:rPr>
          <w:rFonts w:ascii="Verdana" w:hAnsi="Verdana" w:cs="Arial"/>
          <w:sz w:val="20"/>
          <w:szCs w:val="20"/>
        </w:rPr>
      </w:pPr>
      <w:r>
        <w:rPr>
          <w:rFonts w:cs="Arial" w:ascii="Verdana" w:hAnsi="Verdana"/>
          <w:sz w:val="20"/>
          <w:szCs w:val="20"/>
        </w:rPr>
        <w:t>Secretaria Municipal de Educação – Praça Vicente Glazar, 159, Glória, São Gabriel da Palha, ES.</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3. CONTATO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99752-5596</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transportesemedsgp@gmail.com</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Responsável: </w:t>
      </w:r>
      <w:r>
        <w:rPr>
          <w:rFonts w:cs="Arial" w:ascii="Verdana" w:hAnsi="Verdana"/>
          <w:sz w:val="20"/>
          <w:szCs w:val="20"/>
        </w:rPr>
        <w:t>Secretaria Municipal de Educação</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hd w:fill="FFFFFF" w:val="clear"/>
        <w:spacing w:lineRule="auto" w:line="276" w:before="57" w:after="57"/>
        <w:ind w:left="0" w:right="0"/>
        <w:jc w:val="both"/>
        <w:textAlignment w:val="baseline"/>
        <w:rPr>
          <w:rFonts w:ascii="Verdana" w:hAnsi="Verdana" w:cs="Calibri"/>
          <w:b/>
          <w:bCs/>
          <w:color w:val="000000"/>
          <w:sz w:val="20"/>
          <w:szCs w:val="20"/>
          <w:lang w:eastAsia="pt-BR"/>
        </w:rPr>
      </w:pPr>
      <w:r>
        <w:rPr>
          <w:rFonts w:cs="Calibri" w:ascii="Verdana" w:hAnsi="Verdana"/>
          <w:b/>
          <w:bCs/>
          <w:color w:val="000000"/>
          <w:sz w:val="20"/>
          <w:szCs w:val="20"/>
          <w:lang w:eastAsia="pt-BR"/>
        </w:rPr>
        <w:t>4. PREVISÃO NO PLANO DE CONTRATAÇÕES ANUAL</w:t>
      </w:r>
    </w:p>
    <w:p>
      <w:pPr>
        <w:pStyle w:val="Normal"/>
        <w:spacing w:lineRule="auto" w:line="276" w:before="57" w:after="57"/>
        <w:ind w:left="0" w:right="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sz w:val="20"/>
          <w:szCs w:val="20"/>
        </w:rPr>
        <w:t xml:space="preserve">A contratação pretendida tem consonância com o planejamento estratégico desta Instituição, uma vez que consta na sua programação orçamentária e financeira anual. </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5. DESCRIÇÃO DA NECESSIDADE</w:t>
      </w:r>
    </w:p>
    <w:p>
      <w:pPr>
        <w:pStyle w:val="ListParagraph"/>
        <w:spacing w:lineRule="auto" w:line="276" w:before="57" w:after="57"/>
        <w:ind w:left="0" w:right="0"/>
        <w:jc w:val="both"/>
        <w:rPr>
          <w:rFonts w:ascii="Verdana" w:hAnsi="Verdana"/>
          <w:sz w:val="20"/>
          <w:szCs w:val="20"/>
        </w:rPr>
      </w:pPr>
      <w:r>
        <w:rPr>
          <w:rFonts w:cs="Arial" w:ascii="Verdana" w:hAnsi="Verdana"/>
          <w:b/>
          <w:bCs/>
          <w:sz w:val="20"/>
          <w:szCs w:val="20"/>
        </w:rPr>
        <w:t xml:space="preserve">5.1. </w:t>
      </w:r>
      <w:r>
        <w:rPr>
          <w:rFonts w:ascii="Verdana" w:hAnsi="Verdana"/>
          <w:sz w:val="20"/>
          <w:szCs w:val="20"/>
        </w:rPr>
        <w:t>Contratação de empresa</w:t>
      </w:r>
      <w:r>
        <w:rPr>
          <w:rFonts w:ascii="Verdana" w:hAnsi="Verdana"/>
          <w:b w:val="false"/>
          <w:bCs w:val="false"/>
          <w:sz w:val="20"/>
          <w:szCs w:val="20"/>
        </w:rPr>
        <w:t xml:space="preserve"> para confecção de uniformes dos servidores da Secretaria de Educação </w:t>
      </w:r>
      <w:r>
        <w:rPr>
          <w:rFonts w:ascii="Verdana" w:hAnsi="Verdana"/>
          <w:sz w:val="20"/>
          <w:szCs w:val="20"/>
        </w:rPr>
        <w:t>a,</w:t>
      </w:r>
      <w:r>
        <w:rPr>
          <w:rFonts w:cs="Arial" w:ascii="Verdana" w:hAnsi="Verdana"/>
          <w:sz w:val="20"/>
          <w:szCs w:val="20"/>
        </w:rPr>
        <w:t xml:space="preserve"> no Município de São Gabriel da Palha, conforme especificações e quantidades detalhadas </w:t>
      </w:r>
      <w:r>
        <w:rPr>
          <w:rFonts w:cs="Arial" w:ascii="Verdana" w:hAnsi="Verdana"/>
          <w:sz w:val="20"/>
          <w:szCs w:val="20"/>
          <w:lang w:eastAsia="pt-BR"/>
        </w:rPr>
        <w:t>neste Estudo Técnico Preliminar</w:t>
      </w:r>
      <w:r>
        <w:rPr>
          <w:rFonts w:cs="Arial" w:ascii="Verdana" w:hAnsi="Verdana"/>
          <w:sz w:val="20"/>
          <w:szCs w:val="20"/>
        </w:rPr>
        <w:t>.</w:t>
      </w:r>
    </w:p>
    <w:p>
      <w:pPr>
        <w:pStyle w:val="ListParagraph"/>
        <w:spacing w:lineRule="auto" w:line="276" w:before="57" w:after="57"/>
        <w:ind w:left="0" w:right="0"/>
        <w:jc w:val="both"/>
        <w:rPr>
          <w:rFonts w:ascii="Verdana" w:hAnsi="Verdana"/>
          <w:sz w:val="20"/>
          <w:szCs w:val="20"/>
        </w:rPr>
      </w:pPr>
      <w:r>
        <w:rPr>
          <w:rFonts w:eastAsia="Arial" w:cs="Arial" w:ascii="Verdana" w:hAnsi="Verdana"/>
          <w:b/>
          <w:bCs/>
          <w:sz w:val="20"/>
          <w:szCs w:val="20"/>
        </w:rPr>
        <w:t>5.2.</w:t>
      </w:r>
      <w:r>
        <w:rPr>
          <w:rFonts w:eastAsia="Arial" w:cs="Arial" w:ascii="Verdana" w:hAnsi="Verdana"/>
          <w:sz w:val="20"/>
          <w:szCs w:val="20"/>
        </w:rPr>
        <w:t xml:space="preserve"> Diante da necessidade acima, iniciou-se o presente ETP por meio do qual será possível decidir qual é a melhor solução.</w:t>
      </w:r>
    </w:p>
    <w:p>
      <w:pPr>
        <w:pStyle w:val="ListParagraph"/>
        <w:spacing w:lineRule="auto" w:line="276" w:before="57" w:after="57"/>
        <w:ind w:left="0" w:right="0"/>
        <w:jc w:val="both"/>
        <w:rPr>
          <w:rFonts w:ascii="Verdana" w:hAnsi="Verdana"/>
          <w:sz w:val="20"/>
          <w:szCs w:val="20"/>
        </w:rPr>
      </w:pPr>
      <w:r>
        <w:rPr>
          <w:rFonts w:eastAsia="Arial" w:cs="Arial" w:ascii="Verdana" w:hAnsi="Verdana"/>
          <w:b/>
          <w:bCs/>
          <w:sz w:val="20"/>
          <w:szCs w:val="20"/>
        </w:rPr>
        <w:t>5.3.</w:t>
      </w:r>
      <w:r>
        <w:rPr>
          <w:rFonts w:eastAsia="Arial" w:cs="Arial" w:ascii="Verdana" w:hAnsi="Verdana"/>
          <w:sz w:val="20"/>
          <w:szCs w:val="20"/>
        </w:rPr>
        <w:t xml:space="preserve"> A quantidade foi estimada com base na demanda de servidores da Secretaria de Educação.</w:t>
      </w:r>
    </w:p>
    <w:p>
      <w:pPr>
        <w:pStyle w:val="Normal"/>
        <w:spacing w:lineRule="auto" w:line="276" w:before="57" w:after="57"/>
        <w:ind w:left="0" w:right="0"/>
        <w:jc w:val="both"/>
        <w:rPr>
          <w:rFonts w:ascii="Verdana" w:hAnsi="Verdana"/>
          <w:sz w:val="20"/>
          <w:szCs w:val="20"/>
        </w:rPr>
      </w:pPr>
      <w:r>
        <w:rPr>
          <w:rFonts w:eastAsia="Arial" w:cs="Arial" w:ascii="Verdana" w:hAnsi="Verdana"/>
          <w:b/>
          <w:bCs/>
          <w:sz w:val="20"/>
          <w:szCs w:val="20"/>
        </w:rPr>
        <w:t>5.4.</w:t>
      </w:r>
      <w:r>
        <w:rPr>
          <w:rFonts w:eastAsia="Arial" w:cs="Arial" w:ascii="Verdana" w:hAnsi="Verdana"/>
          <w:sz w:val="20"/>
          <w:szCs w:val="20"/>
        </w:rPr>
        <w:t xml:space="preserve"> </w:t>
      </w:r>
      <w:r>
        <w:rPr>
          <w:rFonts w:ascii="Verdana" w:hAnsi="Verdana"/>
          <w:sz w:val="20"/>
          <w:szCs w:val="20"/>
        </w:rPr>
        <w:t xml:space="preserve">A aquisição de uniformes tem como objetivo padronizar a identificação dos profissionais da Secretaria de Educação, promovendo organização, segurança e fortalecimento da imagem institucional. Além disso, os uniformes contribuem para a valorização dos servidores, criando um ambiente de trabalho mais profissional e coeso. </w:t>
      </w:r>
    </w:p>
    <w:p>
      <w:pPr>
        <w:pStyle w:val="Normal"/>
        <w:spacing w:lineRule="auto" w:line="276" w:before="57" w:after="57"/>
        <w:ind w:left="0" w:right="0"/>
        <w:jc w:val="both"/>
        <w:rPr>
          <w:rFonts w:ascii="Verdana" w:hAnsi="Verdana"/>
          <w:sz w:val="20"/>
          <w:szCs w:val="20"/>
        </w:rPr>
      </w:pPr>
      <w:r>
        <w:rPr>
          <w:rFonts w:eastAsia="Arial" w:cs="Arial" w:ascii="Verdana" w:hAnsi="Verdana"/>
          <w:b/>
          <w:bCs/>
          <w:sz w:val="20"/>
          <w:szCs w:val="20"/>
        </w:rPr>
        <w:t>5.6.</w:t>
      </w:r>
      <w:r>
        <w:rPr>
          <w:rFonts w:eastAsia="Arial" w:cs="Arial" w:ascii="Verdana" w:hAnsi="Verdana"/>
          <w:sz w:val="20"/>
          <w:szCs w:val="20"/>
        </w:rPr>
        <w:t xml:space="preserve"> A contratação pretendida tem consonância com o planejamento estratégico desta Instituição, uma vez que consta na sua programação orçamentária e financeira anual. </w:t>
      </w:r>
    </w:p>
    <w:p>
      <w:pPr>
        <w:pStyle w:val="Normal"/>
        <w:spacing w:lineRule="auto" w:line="276" w:before="57" w:after="57"/>
        <w:ind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jc w:val="both"/>
        <w:rPr>
          <w:rFonts w:ascii="Verdana" w:hAnsi="Verdana" w:cs="Arial"/>
          <w:b/>
          <w:iCs/>
          <w:sz w:val="20"/>
          <w:szCs w:val="20"/>
        </w:rPr>
      </w:pPr>
      <w:r>
        <w:rPr>
          <w:rFonts w:cs="Arial" w:ascii="Verdana" w:hAnsi="Verdana"/>
          <w:b/>
          <w:iCs/>
          <w:sz w:val="20"/>
          <w:szCs w:val="20"/>
        </w:rPr>
        <w:t>6. ÁREA REQUISITANTE</w:t>
      </w:r>
    </w:p>
    <w:p>
      <w:pPr>
        <w:pStyle w:val="Normal"/>
        <w:spacing w:lineRule="auto" w:line="276" w:before="57" w:after="57"/>
        <w:ind w:left="0" w:right="0"/>
        <w:jc w:val="both"/>
        <w:rPr>
          <w:rFonts w:ascii="Verdana" w:hAnsi="Verdana"/>
          <w:sz w:val="20"/>
          <w:szCs w:val="20"/>
        </w:rPr>
      </w:pPr>
      <w:r>
        <w:rPr>
          <w:rFonts w:eastAsia="Arial" w:cs="Arial" w:ascii="Verdana" w:hAnsi="Verdana"/>
          <w:sz w:val="20"/>
          <w:szCs w:val="20"/>
        </w:rPr>
        <w:t>Secretaria Municipal de Educação.</w:t>
      </w:r>
    </w:p>
    <w:p>
      <w:pPr>
        <w:pStyle w:val="Normal"/>
        <w:spacing w:lineRule="auto" w:line="276" w:before="57" w:after="57"/>
        <w:ind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t>7. DESCRIÇÃO DOS REQUISITOS DA CONTRATAÇÃO</w:t>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rPr>
        <w:t xml:space="preserve">7.1 </w:t>
      </w:r>
      <w:r>
        <w:rPr>
          <w:rFonts w:ascii="Verdana" w:hAnsi="Verdana"/>
          <w:sz w:val="20"/>
          <w:szCs w:val="20"/>
        </w:rPr>
        <w:t>Apresentar os documentos de cobrança, inclusive Nota Fiscal, com a descrição dos serviços realizados;</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7.2</w:t>
      </w:r>
      <w:r>
        <w:rPr>
          <w:rFonts w:ascii="Verdana" w:hAnsi="Verdana"/>
          <w:sz w:val="20"/>
          <w:szCs w:val="20"/>
        </w:rPr>
        <w:t xml:space="preserve"> Assumir inteira responsabilidade civil, administrativa e penal por quaisquer danos e prejuízos, aos equipamentos ou pessoas, causados pela Contratada, seus empregados, ou prepostos ao Contratante ou a terceiros;</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7.3</w:t>
      </w:r>
      <w:r>
        <w:rPr>
          <w:rFonts w:ascii="Verdana" w:hAnsi="Verdana"/>
          <w:sz w:val="20"/>
          <w:szCs w:val="20"/>
        </w:rPr>
        <w:t xml:space="preserve"> Obriga-se a Contratada, mediante solicitação do Contratante, a orçar previamente eventual produtos não cobertos pelo objeto do Contrato;</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7.4</w:t>
      </w:r>
      <w:r>
        <w:rPr>
          <w:rFonts w:ascii="Verdana" w:hAnsi="Verdana"/>
          <w:sz w:val="20"/>
          <w:szCs w:val="20"/>
        </w:rPr>
        <w:t xml:space="preserve">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7.5</w:t>
      </w:r>
      <w:r>
        <w:rPr>
          <w:rFonts w:ascii="Verdana" w:hAnsi="Verdana"/>
          <w:sz w:val="20"/>
          <w:szCs w:val="20"/>
        </w:rPr>
        <w:t xml:space="preserve"> Manter durante a vigência da ata de registro de preços todas as condições de habilitação e qualificação exigidas pela legislação em vigor;</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7.6</w:t>
      </w:r>
      <w:r>
        <w:rPr>
          <w:rFonts w:ascii="Verdana" w:hAnsi="Verdana"/>
          <w:sz w:val="20"/>
          <w:szCs w:val="20"/>
        </w:rPr>
        <w:t xml:space="preserve"> Providenciar a execução do objeto do contrato preservando o bom andamento dos serviços dentro da programação prevista;</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7.7</w:t>
      </w:r>
      <w:r>
        <w:rPr>
          <w:rFonts w:ascii="Verdana" w:hAnsi="Verdana"/>
          <w:sz w:val="20"/>
          <w:szCs w:val="20"/>
        </w:rPr>
        <w:t xml:space="preserve"> Cumprir e fazer cumprir os dispositivos legais pertinentes aos elementos de defesa e preservação do meio ambiente relativamente às legislações em nível federal, estadual e municipal; </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7.8</w:t>
      </w:r>
      <w:r>
        <w:rPr>
          <w:rFonts w:ascii="Verdana" w:hAnsi="Verdana"/>
          <w:sz w:val="20"/>
          <w:szCs w:val="20"/>
        </w:rPr>
        <w:t xml:space="preserve"> Permitir e facilitar aos fiscais da Prefeitura de São Gabriel da Palha a inspeção dos produtos em qualquer dia e hora, prestando todos informes e esclarecimentos solicitados, relacionados com os produtos adquiridos;</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7.9</w:t>
      </w:r>
      <w:r>
        <w:rPr>
          <w:rFonts w:ascii="Verdana" w:hAnsi="Verdana"/>
          <w:sz w:val="20"/>
          <w:szCs w:val="20"/>
        </w:rPr>
        <w:t xml:space="preserve"> Correção por conta da Contratada as despesas com contratação, remuneração de pessoal, encargos previdenciários, fiscais e trabalhistas, bem como todas as demais despesas necessárias ao fiel cumprimento do Contrato firmado;</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 xml:space="preserve">7.10 </w:t>
      </w:r>
      <w:r>
        <w:rPr>
          <w:rFonts w:ascii="Verdana" w:hAnsi="Verdana"/>
          <w:sz w:val="20"/>
          <w:szCs w:val="20"/>
        </w:rPr>
        <w:t>Assumir total responsabilidade por danos causados ao Contratante ou terceiro,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sz w:val="20"/>
          <w:szCs w:val="20"/>
        </w:rPr>
        <w:t>7.11</w:t>
      </w:r>
      <w:r>
        <w:rPr>
          <w:rFonts w:ascii="Verdana" w:hAnsi="Verdana"/>
          <w:sz w:val="20"/>
          <w:szCs w:val="20"/>
        </w:rPr>
        <w:t xml:space="preserve"> Manter-se plenamente de acordo com os preceitos legais pertinentes à segurança do trabalho, adotando sempre as melhores normas técnicas de segurança e saúde aos profissionais que atuarão na execução do objeto do Contrato;</w:t>
      </w:r>
    </w:p>
    <w:p>
      <w:pPr>
        <w:pStyle w:val="Normal"/>
        <w:tabs>
          <w:tab w:val="clear" w:pos="720"/>
          <w:tab w:val="left" w:pos="142" w:leader="none"/>
        </w:tabs>
        <w:spacing w:lineRule="auto" w:line="276" w:before="57" w:after="57"/>
        <w:ind w:left="0" w:right="0"/>
        <w:jc w:val="both"/>
        <w:rPr>
          <w:rFonts w:ascii="Verdana" w:hAnsi="Verdana"/>
          <w:sz w:val="20"/>
          <w:szCs w:val="20"/>
        </w:rPr>
      </w:pPr>
      <w:r>
        <w:rPr>
          <w:rFonts w:ascii="Verdana" w:hAnsi="Verdana"/>
          <w:b/>
          <w:bCs/>
          <w:sz w:val="20"/>
          <w:szCs w:val="20"/>
        </w:rPr>
        <w:t xml:space="preserve">7.12 </w:t>
      </w:r>
      <w:r>
        <w:rPr>
          <w:rFonts w:ascii="Verdana" w:hAnsi="Verdana"/>
          <w:b w:val="false"/>
          <w:bCs w:val="false"/>
          <w:sz w:val="20"/>
          <w:szCs w:val="20"/>
        </w:rPr>
        <w:t>Entregar os produtos</w:t>
      </w:r>
      <w:r>
        <w:rPr>
          <w:rFonts w:ascii="Verdana" w:hAnsi="Verdana"/>
          <w:sz w:val="20"/>
          <w:szCs w:val="20"/>
        </w:rPr>
        <w:t xml:space="preserve"> de acordo com a melhor técnica e nos padrões de segurança;</w:t>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rPr>
        <w:t xml:space="preserve">7.13 </w:t>
      </w:r>
      <w:r>
        <w:rPr>
          <w:rFonts w:eastAsia="Arial" w:cs="Arial" w:ascii="Verdana" w:hAnsi="Verdana"/>
          <w:sz w:val="20"/>
          <w:szCs w:val="20"/>
        </w:rPr>
        <w:t>Atender com plenitude as exigências contidas nas especificações do objeto do Contrato seja quanto ao produto quanto ao pessoal que será necessário à sua confecção.</w:t>
      </w:r>
    </w:p>
    <w:p>
      <w:pPr>
        <w:pStyle w:val="Normal"/>
        <w:spacing w:lineRule="auto" w:line="276" w:before="57" w:after="57"/>
        <w:ind w:left="0" w:right="0"/>
        <w:jc w:val="both"/>
        <w:rPr>
          <w:rFonts w:ascii="Verdana" w:hAnsi="Verdana"/>
          <w:b/>
          <w:bCs/>
          <w:sz w:val="20"/>
          <w:szCs w:val="20"/>
        </w:rPr>
      </w:pPr>
      <w:r>
        <w:rPr>
          <w:rFonts w:ascii="Verdana" w:hAnsi="Verdana"/>
          <w:b/>
          <w:bCs/>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8. ESTIMATIVA DAS QUANTIDADES A SEREM CONTRATADAS E VALORES</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bCs/>
          <w:sz w:val="20"/>
          <w:szCs w:val="20"/>
        </w:rPr>
        <w:t xml:space="preserve">8.1. </w:t>
      </w:r>
      <w:r>
        <w:rPr>
          <w:rFonts w:cs="Arial" w:ascii="Verdana" w:hAnsi="Verdana"/>
          <w:sz w:val="20"/>
          <w:szCs w:val="20"/>
        </w:rPr>
        <w:t>A relação dos itens necessário para contemplar a solução, bem como a estimativa da quantidade a ser contratada é apresentada na tabela a seguir:</w:t>
      </w:r>
    </w:p>
    <w:tbl>
      <w:tblPr>
        <w:tblW w:w="9337" w:type="dxa"/>
        <w:jc w:val="left"/>
        <w:tblInd w:w="16" w:type="dxa"/>
        <w:tblLayout w:type="fixed"/>
        <w:tblCellMar>
          <w:top w:w="0" w:type="dxa"/>
          <w:left w:w="70" w:type="dxa"/>
          <w:bottom w:w="0" w:type="dxa"/>
          <w:right w:w="70" w:type="dxa"/>
        </w:tblCellMar>
      </w:tblPr>
      <w:tblGrid>
        <w:gridCol w:w="800"/>
        <w:gridCol w:w="4988"/>
        <w:gridCol w:w="737"/>
        <w:gridCol w:w="1075"/>
        <w:gridCol w:w="1737"/>
      </w:tblGrid>
      <w:tr>
        <w:trPr>
          <w:trHeight w:val="269" w:hRule="atLeast"/>
        </w:trPr>
        <w:tc>
          <w:tcPr>
            <w:tcW w:w="8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cs="Arial"/>
                <w:b/>
                <w:bCs/>
                <w:sz w:val="19"/>
                <w:szCs w:val="19"/>
              </w:rPr>
            </w:pPr>
            <w:r>
              <w:rPr>
                <w:rFonts w:cs="Arial" w:ascii="Verdana" w:hAnsi="Verdana"/>
                <w:b/>
                <w:bCs/>
                <w:sz w:val="19"/>
                <w:szCs w:val="19"/>
              </w:rPr>
              <w:t>LOTE</w:t>
            </w:r>
          </w:p>
        </w:tc>
        <w:tc>
          <w:tcPr>
            <w:tcW w:w="49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cs="Arial"/>
                <w:b/>
                <w:bCs/>
                <w:sz w:val="19"/>
                <w:szCs w:val="19"/>
              </w:rPr>
            </w:pPr>
            <w:r>
              <w:rPr>
                <w:rFonts w:cs="Arial" w:ascii="Verdana" w:hAnsi="Verdana"/>
                <w:b/>
                <w:bCs/>
                <w:sz w:val="19"/>
                <w:szCs w:val="19"/>
              </w:rPr>
              <w:t>MÃO DE OBRA</w:t>
            </w:r>
          </w:p>
        </w:tc>
        <w:tc>
          <w:tcPr>
            <w:tcW w:w="737" w:type="dxa"/>
            <w:tcBorders>
              <w:top w:val="single" w:sz="4" w:space="0" w:color="000000"/>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cs="Arial"/>
                <w:b/>
                <w:bCs/>
                <w:sz w:val="19"/>
                <w:szCs w:val="19"/>
              </w:rPr>
            </w:pPr>
            <w:r>
              <w:rPr>
                <w:rFonts w:cs="Arial" w:ascii="Verdana" w:hAnsi="Verdana"/>
                <w:b/>
                <w:bCs/>
                <w:sz w:val="19"/>
                <w:szCs w:val="19"/>
              </w:rPr>
              <w:t>QTDE</w:t>
            </w:r>
          </w:p>
        </w:tc>
        <w:tc>
          <w:tcPr>
            <w:tcW w:w="1075" w:type="dxa"/>
            <w:tcBorders>
              <w:top w:val="single" w:sz="4" w:space="0" w:color="000000"/>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 xml:space="preserve">VALOR </w:t>
            </w:r>
            <w:r>
              <w:rPr>
                <w:rFonts w:ascii="Verdana" w:hAnsi="Verdana"/>
                <w:sz w:val="19"/>
                <w:szCs w:val="19"/>
              </w:rPr>
              <w:t>(</w:t>
            </w:r>
            <w:r>
              <w:rPr>
                <w:rFonts w:ascii="Verdana" w:hAnsi="Verdana"/>
                <w:sz w:val="19"/>
                <w:szCs w:val="19"/>
              </w:rPr>
              <w:t>un</w:t>
            </w:r>
            <w:r>
              <w:rPr>
                <w:rFonts w:ascii="Verdana" w:hAnsi="Verdana"/>
                <w:sz w:val="19"/>
                <w:szCs w:val="19"/>
              </w:rPr>
              <w:t>itário)</w:t>
            </w:r>
          </w:p>
        </w:tc>
        <w:tc>
          <w:tcPr>
            <w:tcW w:w="17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VALOR TOTAL</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"motorista" também estampado, conforme modelo anexo: tamanho </w:t>
            </w:r>
            <w:r>
              <w:rPr>
                <w:rFonts w:ascii="Verdana" w:hAnsi="Verdana"/>
                <w:sz w:val="19"/>
                <w:szCs w:val="19"/>
              </w:rPr>
              <w:t>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cs="Arial"/>
                <w:sz w:val="19"/>
                <w:szCs w:val="19"/>
              </w:rPr>
            </w:pPr>
            <w:r>
              <w:rPr>
                <w:rFonts w:cs="Arial"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"motorista" também estampado, conforme modelo anexo: tamanho </w:t>
            </w:r>
            <w:r>
              <w:rPr>
                <w:rFonts w:ascii="Verdana" w:hAnsi="Verdana"/>
                <w:sz w:val="19"/>
                <w:szCs w:val="19"/>
              </w:rPr>
              <w:t>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cs="Arial"/>
                <w:sz w:val="19"/>
                <w:szCs w:val="19"/>
              </w:rPr>
            </w:pPr>
            <w:r>
              <w:rPr>
                <w:rFonts w:cs="Arial"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1046"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"motorista" também estampado, conforme modelo anexo: tamanho </w:t>
            </w:r>
            <w:r>
              <w:rPr>
                <w:rFonts w:ascii="Verdana" w:hAnsi="Verdana"/>
                <w:sz w:val="19"/>
                <w:szCs w:val="19"/>
              </w:rPr>
              <w:t>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4</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"motorista" também estampado, conforme modelo anexo: tamanho </w:t>
            </w:r>
            <w:r>
              <w:rPr>
                <w:rFonts w:ascii="Verdana" w:hAnsi="Verdana"/>
                <w:sz w:val="19"/>
                <w:szCs w:val="19"/>
              </w:rPr>
              <w:t>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"motorista" também estampado, conforme modelo anexo: tamanho </w:t>
            </w:r>
            <w:r>
              <w:rPr>
                <w:rFonts w:ascii="Verdana" w:hAnsi="Verdana"/>
                <w:sz w:val="19"/>
                <w:szCs w:val="19"/>
              </w:rPr>
              <w:t>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R$ 1.674,50</w:t>
            </w:r>
          </w:p>
        </w:tc>
      </w:tr>
      <w:tr>
        <w:trPr>
          <w:trHeight w:val="544"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6</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"monitor" também estampado, conforme modelo anexo: tamanho </w:t>
            </w:r>
            <w:r>
              <w:rPr>
                <w:rFonts w:ascii="Verdana" w:hAnsi="Verdana"/>
                <w:sz w:val="19"/>
                <w:szCs w:val="19"/>
              </w:rPr>
              <w:t>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7</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redonda, manga curta, modelo masculino, tecido em malha pv, na cor azul royal, estampa na cor branca,  com brasão do município de São Gabriel da Palha do lado esquerdo do peito e a descrição "monitor" também estampado, conforme modelo anexo: tamanho </w:t>
            </w:r>
            <w:r>
              <w:rPr>
                <w:rFonts w:ascii="Verdana" w:hAnsi="Verdana"/>
                <w:sz w:val="19"/>
                <w:szCs w:val="19"/>
              </w:rPr>
              <w:t>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8</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 royal, estampa na cor branca,  com brasão do município de São Gabriel da Palha do lado esquerdo do peito e a descrição "monitor" também estampado, conforme modelo anexo: tamanho 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9</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 xml:space="preserve">CAMISETA com gola tipo v, manga curta, modelo feminino, tecido em malha pv, na cor azul royal, estampa na cor branca,  com brasão do município de São Gabriel da Palha do lado esquerdo do peito e a descrição "monitor" também estampado, conforme modelo anexo: tamanho </w:t>
            </w:r>
            <w:r>
              <w:rPr>
                <w:rFonts w:ascii="Verdana" w:hAnsi="Verdana"/>
                <w:sz w:val="19"/>
                <w:szCs w:val="19"/>
              </w:rPr>
              <w:t>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 royal, estampa na cor branca,  com brasão do município de São Gabriel da Palha do lado esquerdo do peito e a descrição "monitor" também estampado,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11</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 royal, estampa na cor branca,  com brasão do município de São Gabriel da Palha do lado esquerdo do peito e a descrição "monitor" também estampado, conforme modelo anexo: tamanho 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12</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 royal, estampa na cor branca,  com brasão do município de São Gabriel da Palha do lado esquerdo do peito e a descrição "monitor" também estampado, conforme modelo anexo: tamanho 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13</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14</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16</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17</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18</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19</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20</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21</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22</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brasão do município de São Gabriel da Palha do lado esquerdo do peito e a descrição "agente de portaria" também estampado, também deve possuir estampa nas costas com a descrição “agente de portaria” conforme modelo anexo: tamanho 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23</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a descrição "Educação", conforme modelo anexo: tamanho 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24</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a descrição "Educação", conforme modelo anexo: tamanho 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25</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 marinho, estampa na cor branca com a descrição "Educação",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26</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a descrição "Educação", conforme modelo anexo: tamanho 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100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R$ 3.349,00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27</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v, manga curta, modelo feminino, tecido em malha pv, na cor azul-marinho, estampa na cor branca com a descrição "Educação", conforme modelo anexo: tamanho 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28</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a descrição "Educação", conforme modelo anexo: tamanho 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29</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a descrição "Educação", conforme modelo anexo: tamanho 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30</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a descrição "Educação",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31</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a descrição "Educação", conforme modelo anexo: tamanho 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32</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azul-marinho, estampa na cor branca com a descrição "Educação", conforme modelo anexo: tamanho 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33</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feminino, tecido em malha pv, na cor branca, estampa na cor azul, com brasão do município de São Gabriel da Palha do lado esquerdo do peito, conforme modelo anexo: tamanho P</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34</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feminino, tecido em malha pv, na cor branca, estampa na cor azul, com brasão do município de São Gabriel da Palha do lado esquerdo do peito, conforme modelo anexo: tamanho 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R$ 8.372,50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35</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feminino, tecido em malha pv, na cor branca, estampa na cor azul, com brasão do município de São Gabriel da Palha do lado esquerdo do peito,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R$ 8.372,50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36</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feminino, tecido em malha pv, na cor branca, estampa na cor azul, com brasão do município de São Gabriel da Palha do lado esquerdo do peito, conforme modelo anexo: tamanho 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250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R$ 8.372,50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37</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feminino, tecido em malha pv, na cor branca, estampa na cor azul, com brasão do município de São Gabriel da Palha do lado esquerdo do peito, conforme modelo anexo: tamanho XGG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150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color w:val="000000"/>
                <w:sz w:val="19"/>
                <w:szCs w:val="19"/>
              </w:rPr>
            </w:pPr>
            <w:r>
              <w:rPr>
                <w:rFonts w:ascii="Verdana" w:hAnsi="Verdana"/>
                <w:color w:val="000000"/>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b w:val="false"/>
                <w:bCs w:val="false"/>
                <w:sz w:val="19"/>
                <w:szCs w:val="19"/>
              </w:rPr>
            </w:pPr>
            <w:r>
              <w:rPr>
                <w:rFonts w:ascii="Verdana" w:hAnsi="Verdana"/>
                <w:b w:val="false"/>
                <w:bCs w:val="false"/>
                <w:sz w:val="19"/>
                <w:szCs w:val="19"/>
              </w:rPr>
              <w:t>R$ 5.023,50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38</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branca, estampa na cor azul, com brasão do município de São Gabriel da Palha do lado esquerdo do peito e a descrição "motorista" também estampado, conforme modelo anexo: tamanho M</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39</w:t>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both"/>
              <w:rPr>
                <w:rFonts w:ascii="Verdana" w:hAnsi="Verdana"/>
                <w:sz w:val="19"/>
                <w:szCs w:val="19"/>
              </w:rPr>
            </w:pPr>
            <w:r>
              <w:rPr>
                <w:rFonts w:ascii="Verdana" w:hAnsi="Verdana"/>
                <w:sz w:val="19"/>
                <w:szCs w:val="19"/>
              </w:rPr>
              <w:t>CAMISETA com gola tipo redonda, manga curta, modelo masculino, tecido em malha pv, na cor branca, estampa na cor azul, com brasão do município de São Gabriel da Palha do lado esquerdo do peito e a descrição "motorista" também estampado, conforme modelo anexo: tamanho G</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t>50</w:t>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33,49</w:t>
            </w:r>
          </w:p>
        </w:tc>
        <w:tc>
          <w:tcPr>
            <w:tcW w:w="1737"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right"/>
              <w:rPr>
                <w:rFonts w:ascii="Verdana" w:hAnsi="Verdana"/>
                <w:sz w:val="19"/>
                <w:szCs w:val="19"/>
              </w:rPr>
            </w:pPr>
            <w:r>
              <w:rPr>
                <w:rFonts w:ascii="Verdana" w:hAnsi="Verdana"/>
                <w:sz w:val="19"/>
                <w:szCs w:val="19"/>
              </w:rPr>
              <w:t>R$ 1.674,50</w:t>
            </w:r>
          </w:p>
        </w:tc>
      </w:tr>
      <w:tr>
        <w:trPr>
          <w:trHeight w:val="269" w:hRule="atLeast"/>
        </w:trPr>
        <w:tc>
          <w:tcPr>
            <w:tcW w:w="800" w:type="dxa"/>
            <w:tcBorders>
              <w:left w:val="single" w:sz="4" w:space="0" w:color="000000"/>
              <w:bottom w:val="single" w:sz="4" w:space="0" w:color="000000"/>
              <w:right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r>
          </w:p>
        </w:tc>
        <w:tc>
          <w:tcPr>
            <w:tcW w:w="4988" w:type="dxa"/>
            <w:tcBorders>
              <w:left w:val="single" w:sz="4" w:space="0" w:color="000000"/>
              <w:bottom w:val="single" w:sz="4" w:space="0" w:color="000000"/>
              <w:right w:val="single" w:sz="4" w:space="0" w:color="000000"/>
            </w:tcBorders>
          </w:tcPr>
          <w:p>
            <w:pPr>
              <w:pStyle w:val="Normal"/>
              <w:spacing w:lineRule="auto" w:line="240" w:before="57" w:after="57"/>
              <w:ind w:left="0" w:right="0"/>
              <w:jc w:val="right"/>
              <w:rPr>
                <w:rFonts w:ascii="Verdana" w:hAnsi="Verdana"/>
                <w:b/>
                <w:bCs/>
                <w:sz w:val="19"/>
                <w:szCs w:val="19"/>
              </w:rPr>
            </w:pPr>
            <w:r>
              <w:rPr>
                <w:rFonts w:ascii="Verdana" w:hAnsi="Verdana"/>
                <w:b/>
                <w:bCs/>
                <w:sz w:val="19"/>
                <w:szCs w:val="19"/>
              </w:rPr>
              <w:t>TOTAL</w:t>
            </w:r>
          </w:p>
        </w:tc>
        <w:tc>
          <w:tcPr>
            <w:tcW w:w="737" w:type="dxa"/>
            <w:tcBorders>
              <w:left w:val="single" w:sz="4" w:space="0" w:color="000000"/>
              <w:bottom w:val="single" w:sz="4" w:space="0" w:color="000000"/>
            </w:tcBorders>
            <w:vAlign w:val="center"/>
          </w:tcPr>
          <w:p>
            <w:pPr>
              <w:pStyle w:val="Normal"/>
              <w:widowControl w:val="false"/>
              <w:spacing w:lineRule="auto" w:line="240" w:before="57" w:after="57"/>
              <w:ind w:left="0" w:right="0"/>
              <w:jc w:val="center"/>
              <w:rPr>
                <w:rFonts w:ascii="Verdana" w:hAnsi="Verdana"/>
                <w:sz w:val="19"/>
                <w:szCs w:val="19"/>
              </w:rPr>
            </w:pPr>
            <w:r>
              <w:rPr>
                <w:rFonts w:ascii="Verdana" w:hAnsi="Verdana"/>
                <w:sz w:val="19"/>
                <w:szCs w:val="19"/>
              </w:rPr>
            </w:r>
          </w:p>
        </w:tc>
        <w:tc>
          <w:tcPr>
            <w:tcW w:w="1075" w:type="dxa"/>
            <w:tcBorders>
              <w:left w:val="single" w:sz="4" w:space="0" w:color="000000"/>
              <w:bottom w:val="single" w:sz="4" w:space="0" w:color="000000"/>
            </w:tcBorders>
            <w:vAlign w:val="center"/>
          </w:tcPr>
          <w:p>
            <w:pPr>
              <w:pStyle w:val="Normal"/>
              <w:widowControl w:val="false"/>
              <w:spacing w:lineRule="auto" w:line="240" w:before="57" w:after="57"/>
              <w:ind w:left="0" w:right="0"/>
              <w:jc w:val="both"/>
              <w:rPr>
                <w:rFonts w:ascii="Verdana" w:hAnsi="Verdana"/>
                <w:sz w:val="19"/>
                <w:szCs w:val="19"/>
              </w:rPr>
            </w:pPr>
            <w:r>
              <w:rPr>
                <w:rFonts w:ascii="Verdana" w:hAnsi="Verdana"/>
                <w:sz w:val="19"/>
                <w:szCs w:val="19"/>
              </w:rPr>
            </w:r>
          </w:p>
        </w:tc>
        <w:tc>
          <w:tcPr>
            <w:tcW w:w="1737" w:type="dxa"/>
            <w:tcBorders>
              <w:left w:val="single" w:sz="4" w:space="0" w:color="000000"/>
              <w:bottom w:val="single" w:sz="4" w:space="0" w:color="000000"/>
              <w:right w:val="single" w:sz="4" w:space="0" w:color="000000"/>
            </w:tcBorders>
            <w:vAlign w:val="center"/>
          </w:tcPr>
          <w:p>
            <w:pPr>
              <w:pStyle w:val="Contedodatabela"/>
              <w:spacing w:lineRule="auto" w:line="240" w:before="57" w:after="57"/>
              <w:ind w:left="0" w:right="0"/>
              <w:jc w:val="right"/>
              <w:rPr>
                <w:rFonts w:ascii="Verdana" w:hAnsi="Verdana"/>
                <w:b/>
                <w:bCs/>
                <w:sz w:val="19"/>
                <w:szCs w:val="19"/>
              </w:rPr>
            </w:pPr>
            <w:r>
              <w:rPr>
                <w:rFonts w:ascii="Verdana" w:hAnsi="Verdana"/>
                <w:b/>
                <w:bCs/>
                <w:sz w:val="19"/>
                <w:szCs w:val="19"/>
              </w:rPr>
              <w:t>R$ 140.658,00</w:t>
            </w:r>
          </w:p>
        </w:tc>
      </w:tr>
    </w:tbl>
    <w:p>
      <w:pPr>
        <w:pStyle w:val="Normal"/>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r>
    </w:p>
    <w:p>
      <w:pPr>
        <w:pStyle w:val="Normal"/>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t>9. LEVANTAMENTO DE MERCADO</w:t>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rPr>
        <w:t xml:space="preserve">9.1. </w:t>
      </w:r>
      <w:r>
        <w:rPr>
          <w:rFonts w:cs="Arial" w:ascii="Verdana" w:hAnsi="Verdana"/>
          <w:sz w:val="20"/>
          <w:szCs w:val="2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9.2.</w:t>
      </w:r>
      <w:r>
        <w:rPr>
          <w:rFonts w:cs="Arial" w:ascii="Verdana" w:hAnsi="Verdana"/>
          <w:sz w:val="20"/>
          <w:szCs w:val="20"/>
        </w:rPr>
        <w:t xml:space="preserve"> A estimativa de preço e elaboração de planilhas foi realizada conforme os valores do último registro de preços.</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9.1.2. </w:t>
      </w:r>
      <w:r>
        <w:rPr>
          <w:rFonts w:cs="Arial" w:ascii="Verdana" w:hAnsi="Verdana"/>
          <w:sz w:val="20"/>
          <w:szCs w:val="20"/>
        </w:rPr>
        <w:t>A instrução Normativa 05/2017, do Ministério do Planejamento, Desenvolvimento e Gestão, que define a necessidade de realização de planilhas de custos nos processos de contratação dos serviços com regime de dedicação exclusiva de mão de obra.</w:t>
      </w:r>
    </w:p>
    <w:p>
      <w:pPr>
        <w:pStyle w:val="Normal"/>
        <w:spacing w:lineRule="auto" w:line="276" w:before="57" w:after="57"/>
        <w:ind w:left="0" w:right="0"/>
        <w:jc w:val="both"/>
        <w:rPr>
          <w:rFonts w:ascii="Verdana" w:hAnsi="Verdana" w:eastAsia="Arial" w:cs="Arial"/>
          <w:sz w:val="20"/>
          <w:szCs w:val="20"/>
        </w:rPr>
      </w:pPr>
      <w:r>
        <w:rPr>
          <w:rFonts w:eastAsia="Arial" w:cs="Arial" w:ascii="Verdana" w:hAnsi="Verdana"/>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10. DESCRIÇÃO DA SOLUÇÃO COMO UM TODO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10.1</w:t>
      </w:r>
      <w:r>
        <w:rPr>
          <w:rFonts w:cs="Arial" w:ascii="Verdana" w:hAnsi="Verdana"/>
          <w:sz w:val="20"/>
          <w:szCs w:val="20"/>
        </w:rPr>
        <w:t xml:space="preserve"> A solução a ser adotada consiste na </w:t>
      </w:r>
      <w:r>
        <w:rPr>
          <w:rFonts w:cs="Arial" w:ascii="Verdana" w:hAnsi="Verdana"/>
          <w:b/>
          <w:sz w:val="20"/>
          <w:szCs w:val="20"/>
        </w:rPr>
        <w:t>Contratação de empresa para confecção de uniformes dos servidores da Secretaria de Educação</w:t>
      </w:r>
      <w:r>
        <w:rPr>
          <w:rFonts w:cs="Arial" w:ascii="Verdana" w:hAnsi="Verdana"/>
          <w:sz w:val="20"/>
          <w:szCs w:val="20"/>
        </w:rPr>
        <w:t>, através de registro de preços, com vigência de</w:t>
      </w:r>
      <w:r>
        <w:rPr>
          <w:rFonts w:cs="Arial" w:ascii="Verdana" w:hAnsi="Verdana"/>
          <w:b/>
          <w:sz w:val="20"/>
          <w:szCs w:val="20"/>
        </w:rPr>
        <w:t xml:space="preserve"> 12 meses a partir da assinatura da ata de registro de preços,</w:t>
      </w:r>
      <w:r>
        <w:rPr>
          <w:rFonts w:cs="Arial" w:ascii="Verdana" w:hAnsi="Verdana"/>
          <w:sz w:val="20"/>
          <w:szCs w:val="20"/>
        </w:rPr>
        <w:t xml:space="preserve"> no Município de São Gabriel da Palha, para atender as necessidades da Secretaria Municipal de Educação como um todo.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10.2 </w:t>
      </w:r>
      <w:r>
        <w:rPr>
          <w:rFonts w:cs="Arial" w:ascii="Verdana" w:hAnsi="Verdana"/>
          <w:sz w:val="20"/>
          <w:szCs w:val="20"/>
        </w:rPr>
        <w:t>A contratação para a confecção dos uniformes deverá obedecer, no que couber, ao disposto na Lei n.º 14.133/2021 e suas alterações.</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10.3. Definição e justificativa de caracterização do objeto e prazos da contratação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10.3.1. </w:t>
      </w:r>
      <w:r>
        <w:rPr>
          <w:rFonts w:cs="Arial" w:ascii="Verdana" w:hAnsi="Verdana"/>
          <w:sz w:val="20"/>
          <w:szCs w:val="20"/>
        </w:rPr>
        <w:t xml:space="preserve">A demanda a ser </w:t>
      </w:r>
      <w:r>
        <w:rPr>
          <w:rFonts w:cs="Arial" w:ascii="Verdana" w:hAnsi="Verdana"/>
          <w:b/>
          <w:sz w:val="20"/>
          <w:szCs w:val="20"/>
        </w:rPr>
        <w:t>Contratação de empresa para confecção de uniformes dos servidores da Secretaria de Educação</w:t>
      </w:r>
      <w:r>
        <w:rPr>
          <w:rFonts w:cs="Arial" w:ascii="Verdana" w:hAnsi="Verdana"/>
          <w:sz w:val="20"/>
          <w:szCs w:val="20"/>
        </w:rPr>
        <w:t>, através de registro de preços, com vigência de</w:t>
      </w:r>
      <w:r>
        <w:rPr>
          <w:rFonts w:cs="Arial" w:ascii="Verdana" w:hAnsi="Verdana"/>
          <w:b/>
          <w:sz w:val="20"/>
          <w:szCs w:val="20"/>
        </w:rPr>
        <w:t xml:space="preserve"> 12 meses a partir da assinatura da ata de registro de preços.</w:t>
      </w:r>
      <w:r>
        <w:rPr>
          <w:rFonts w:cs="Arial" w:ascii="Verdana" w:hAnsi="Verdana"/>
          <w:sz w:val="20"/>
          <w:szCs w:val="20"/>
        </w:rPr>
        <w:t xml:space="preserve"> </w:t>
      </w:r>
      <w:r>
        <w:rPr>
          <w:rFonts w:cs="Arial" w:ascii="Verdana" w:hAnsi="Verdana"/>
          <w:bCs/>
          <w:sz w:val="20"/>
          <w:szCs w:val="20"/>
        </w:rPr>
        <w:t>para suprir as necessidades da Secretaria Municipal de Educação, conforme quantidades e especificações constantes definidas no Projeto Básico.</w:t>
      </w:r>
    </w:p>
    <w:p>
      <w:pPr>
        <w:pStyle w:val="Normal"/>
        <w:spacing w:lineRule="auto" w:line="276" w:before="57" w:after="57"/>
        <w:ind w:left="0" w:right="0"/>
        <w:jc w:val="both"/>
        <w:rPr>
          <w:rFonts w:ascii="Verdana" w:hAnsi="Verdana" w:eastAsia="Arial" w:cs="Arial"/>
          <w:b/>
          <w:sz w:val="20"/>
          <w:szCs w:val="20"/>
        </w:rPr>
      </w:pPr>
      <w:r>
        <w:rPr>
          <w:rFonts w:eastAsia="Arial" w:cs="Arial" w:ascii="Verdana" w:hAnsi="Verdana"/>
          <w:b/>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11. ESTIMATIVA DO VALOR DA CONTRATAÇÃO:</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 xml:space="preserve">11.1 </w:t>
      </w:r>
      <w:r>
        <w:rPr>
          <w:rFonts w:cs="Arial" w:ascii="Verdana" w:hAnsi="Verdana"/>
          <w:sz w:val="20"/>
          <w:szCs w:val="20"/>
        </w:rPr>
        <w:t>O valor global estimado da contratação é de</w:t>
      </w:r>
      <w:r>
        <w:rPr>
          <w:rFonts w:ascii="Verdana" w:hAnsi="Verdana"/>
          <w:b/>
          <w:bCs/>
          <w:sz w:val="20"/>
          <w:szCs w:val="20"/>
        </w:rPr>
        <w:t xml:space="preserve"> R$ 140.658,00</w:t>
      </w:r>
      <w:r>
        <w:rPr>
          <w:rFonts w:cs="Arial" w:ascii="Verdana" w:hAnsi="Verdana"/>
          <w:b/>
          <w:bCs/>
          <w:sz w:val="20"/>
          <w:szCs w:val="20"/>
        </w:rPr>
        <w:t xml:space="preserve">, </w:t>
      </w:r>
      <w:r>
        <w:rPr>
          <w:rFonts w:cs="Arial" w:ascii="Verdana" w:hAnsi="Verdana"/>
          <w:sz w:val="20"/>
          <w:szCs w:val="20"/>
        </w:rPr>
        <w:t xml:space="preserve">constante no item 8.2 deste Estudo Técnico Preliminar. </w:t>
      </w:r>
      <w:r>
        <w:rPr>
          <w:rFonts w:cs="Arial" w:ascii="Verdana" w:hAnsi="Verdana"/>
          <w:color w:val="000000"/>
          <w:sz w:val="20"/>
          <w:szCs w:val="20"/>
        </w:rPr>
        <w:t>A</w:t>
      </w:r>
      <w:r>
        <w:rPr>
          <w:rFonts w:cs="Arial" w:ascii="Verdana" w:hAnsi="Verdana"/>
          <w:sz w:val="20"/>
          <w:szCs w:val="20"/>
        </w:rPr>
        <w:t xml:space="preserve"> presente estimativa do valor da contratação foi realizada através dos ultimos preços praticados</w:t>
      </w:r>
      <w:r>
        <w:rPr>
          <w:rFonts w:cs="Arial" w:ascii="Verdana" w:hAnsi="Verdana"/>
          <w:color w:val="000000"/>
          <w:sz w:val="20"/>
          <w:szCs w:val="20"/>
        </w:rPr>
        <w:t>.</w:t>
      </w:r>
    </w:p>
    <w:p>
      <w:pPr>
        <w:pStyle w:val="Normal"/>
        <w:suppressAutoHyphens w:val="false"/>
        <w:spacing w:lineRule="auto" w:line="276" w:before="57" w:after="57"/>
        <w:ind w:left="0" w:right="0"/>
        <w:jc w:val="both"/>
        <w:rPr>
          <w:rFonts w:ascii="Verdana" w:hAnsi="Verdana" w:cs="Arial"/>
          <w:sz w:val="20"/>
          <w:szCs w:val="20"/>
        </w:rPr>
      </w:pPr>
      <w:r>
        <w:rPr>
          <w:rFonts w:cs="Arial" w:ascii="Verdana" w:hAnsi="Verdana"/>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12. JUSTIFICATIVA PARA O PARCELAMENTO OU NÃO DA SOLUÇÃO</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12.1.</w:t>
      </w:r>
      <w:r>
        <w:rPr>
          <w:rFonts w:cs="Arial" w:ascii="Verdana" w:hAnsi="Verdana"/>
          <w:sz w:val="20"/>
          <w:szCs w:val="20"/>
        </w:rPr>
        <w:t xml:space="preserve"> O objeto da contratação será composto por 39 itens, de preço total orçado pela administração no valor</w:t>
      </w:r>
      <w:r>
        <w:rPr>
          <w:rFonts w:ascii="Verdana" w:hAnsi="Verdana"/>
          <w:b/>
          <w:bCs/>
          <w:sz w:val="20"/>
          <w:szCs w:val="20"/>
        </w:rPr>
        <w:t xml:space="preserve"> R$ 140.658,00</w:t>
      </w:r>
      <w:r>
        <w:rPr>
          <w:rFonts w:cs="Arial" w:ascii="Verdana" w:hAnsi="Verdana"/>
          <w:b/>
          <w:bCs/>
          <w:sz w:val="20"/>
          <w:szCs w:val="20"/>
        </w:rPr>
        <w:t xml:space="preserve">. </w:t>
      </w:r>
      <w:r>
        <w:rPr>
          <w:rFonts w:cs="Arial" w:ascii="Verdana" w:hAnsi="Verdana"/>
          <w:sz w:val="20"/>
          <w:szCs w:val="20"/>
        </w:rPr>
        <w:t xml:space="preserve">Para fins de classificação, será considerado o </w:t>
      </w:r>
      <w:r>
        <w:rPr>
          <w:rFonts w:cs="Arial" w:ascii="Verdana" w:hAnsi="Verdana"/>
          <w:b/>
          <w:sz w:val="20"/>
          <w:szCs w:val="20"/>
        </w:rPr>
        <w:t>menor preço por item</w:t>
      </w:r>
      <w:r>
        <w:rPr>
          <w:rFonts w:cs="Arial" w:ascii="Verdana" w:hAnsi="Verdana"/>
          <w:sz w:val="20"/>
          <w:szCs w:val="20"/>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pPr>
        <w:pStyle w:val="Normal"/>
        <w:spacing w:lineRule="auto" w:line="276" w:before="57" w:after="57"/>
        <w:ind w:left="0" w:right="0"/>
        <w:jc w:val="both"/>
        <w:rPr>
          <w:rFonts w:cs="Arial"/>
        </w:rPr>
      </w:pPr>
      <w:r>
        <w:rPr>
          <w:rFonts w:ascii="Verdana" w:hAnsi="Verdana"/>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13. CONTRATAÇÕES CORRELATAS E/OU INTERDEPENDENTES</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bCs/>
          <w:sz w:val="20"/>
          <w:szCs w:val="20"/>
        </w:rPr>
        <w:t>13.1.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76" w:before="57" w:after="57"/>
        <w:ind w:left="0" w:right="0"/>
        <w:jc w:val="both"/>
        <w:rPr>
          <w:rFonts w:ascii="Verdana" w:hAnsi="Verdana" w:cs="Arial"/>
          <w:sz w:val="20"/>
          <w:szCs w:val="20"/>
        </w:rPr>
      </w:pPr>
      <w:r>
        <w:rPr>
          <w:rFonts w:cs="Arial" w:ascii="Verdana" w:hAnsi="Verdana"/>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14. RESULTADOS PRETENDIDOS COM A CONTRATAÇÃO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14.1</w:t>
      </w:r>
      <w:r>
        <w:rPr>
          <w:rFonts w:cs="Arial" w:ascii="Verdana" w:hAnsi="Verdana"/>
          <w:sz w:val="20"/>
          <w:szCs w:val="20"/>
        </w:rPr>
        <w:t xml:space="preserve"> Com a aquisição pretendida, buscaremos suprir as necessidades da Secretaria Municipal de Educação e atender de forma mais adequada todos os usuáris dos nossos serviços. O quantitativo será suficiente para suprir a demanda desta Secretaria.</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15. PROVIDÊNCIAS A SEREM ADOTADAS</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15.1 Recursos materiais e humanos</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15.1.1.</w:t>
      </w:r>
      <w:r>
        <w:rPr>
          <w:rFonts w:cs="Arial" w:ascii="Verdana" w:hAnsi="Verdana"/>
          <w:sz w:val="20"/>
          <w:szCs w:val="20"/>
        </w:rPr>
        <w:t xml:space="preserve"> Além da Equipe de Gestão do Contrato, as Secretarias envolvidas disponibilizarão recursos materiais e humanos, para acompanhamento dos contratos e da prestação dos serviços pela contratada.</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15.2.</w:t>
      </w:r>
      <w:r>
        <w:rPr>
          <w:rFonts w:cs="Arial" w:ascii="Verdana" w:hAnsi="Verdana"/>
          <w:sz w:val="20"/>
          <w:szCs w:val="20"/>
        </w:rPr>
        <w:t xml:space="preserve"> As secretarias envolvidas na contratação deverão acompanhar, fiscalizar, comprovar e relatar, por escrito, as eventuais irregularidades na execução dos serviços, através dos Fiscais de Contrato </w:t>
      </w:r>
      <w:r>
        <w:rPr>
          <w:rFonts w:ascii="Verdana" w:hAnsi="Verdana"/>
          <w:sz w:val="20"/>
          <w:szCs w:val="20"/>
        </w:rPr>
        <w:t>(Técnicos e Administrativos)</w:t>
      </w:r>
      <w:r>
        <w:rPr>
          <w:rFonts w:cs="Arial" w:ascii="Verdana" w:hAnsi="Verdana"/>
          <w:sz w:val="20"/>
          <w:szCs w:val="20"/>
        </w:rPr>
        <w:t>. Deveram ser nomeados quantidade de fiscais suficientes para um efetivo acompanhamento da execução do contrato, devendo ter Fiscal Técnico e Fiscal Administrativo (contrato).</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15.3 Descontinuidades do Fornecimento</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 xml:space="preserve">15.3.1. </w:t>
      </w:r>
      <w:r>
        <w:rPr>
          <w:rFonts w:cs="Arial" w:ascii="Verdana" w:hAnsi="Verdana"/>
          <w:sz w:val="20"/>
          <w:szCs w:val="20"/>
        </w:rPr>
        <w:t xml:space="preserve">No caso de descontinuidade e/ou paralisação, o gestor do contrato tomará as providências cabíveis, de acordo com cláusulas do edital e contrato, visando sanar problemas por ventura ocorridos. </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16. POSSÍVEIS IMPACTOS AMBIENTAIS</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16.1</w:t>
      </w:r>
      <w:r>
        <w:rPr>
          <w:rFonts w:cs="Arial" w:ascii="Verdana" w:hAnsi="Verdana"/>
          <w:sz w:val="20"/>
          <w:szCs w:val="20"/>
        </w:rPr>
        <w:t xml:space="preserve"> </w:t>
      </w:r>
      <w:r>
        <w:rPr>
          <w:rFonts w:cs="Arial" w:ascii="Verdana" w:hAnsi="Verdana"/>
          <w:sz w:val="20"/>
          <w:szCs w:val="20"/>
        </w:rPr>
        <w:t>Não haverá danos ao meio ambiente uma vez que os serviços não gerarão tal problema</w:t>
      </w:r>
      <w:r>
        <w:rPr>
          <w:rFonts w:cs="Arial" w:ascii="Verdana" w:hAnsi="Verdana"/>
          <w:b/>
          <w:sz w:val="20"/>
          <w:szCs w:val="20"/>
        </w:rPr>
        <w:t>.</w:t>
      </w:r>
      <w:r>
        <w:rPr>
          <w:rFonts w:cs="Arial" w:ascii="Verdana" w:hAnsi="Verdana"/>
          <w:sz w:val="20"/>
          <w:szCs w:val="20"/>
        </w:rPr>
        <w:t xml:space="preserve"> </w:t>
      </w:r>
    </w:p>
    <w:p>
      <w:pPr>
        <w:pStyle w:val="Normal"/>
        <w:spacing w:lineRule="auto" w:line="276" w:before="57" w:after="57"/>
        <w:ind w:left="0" w:right="0"/>
        <w:jc w:val="both"/>
        <w:rPr>
          <w:rFonts w:ascii="Verdana" w:hAnsi="Verdana" w:cs="Arial"/>
          <w:sz w:val="20"/>
          <w:szCs w:val="20"/>
        </w:rPr>
      </w:pPr>
      <w:r>
        <w:rPr>
          <w:rFonts w:cs="Arial" w:ascii="Verdana" w:hAnsi="Verdana"/>
          <w:sz w:val="20"/>
          <w:szCs w:val="20"/>
        </w:rPr>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17. DECLARAÇÕES DE VIABILIDADE</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 xml:space="preserve">17.1 </w:t>
      </w:r>
      <w:r>
        <w:rPr>
          <w:rFonts w:cs="Arial" w:ascii="Verdana" w:hAnsi="Verdana"/>
          <w:sz w:val="20"/>
          <w:szCs w:val="20"/>
        </w:rPr>
        <w:t xml:space="preserve">A equipe de planejamento deste ETP e de acordo com a autoridade deste requerente, declara viável esta contratação. </w:t>
      </w:r>
    </w:p>
    <w:p>
      <w:pPr>
        <w:pStyle w:val="Normal"/>
        <w:spacing w:lineRule="auto" w:line="276" w:before="57" w:after="57"/>
        <w:ind w:left="0" w:right="0"/>
        <w:jc w:val="both"/>
        <w:rPr>
          <w:rFonts w:ascii="Verdana" w:hAnsi="Verdana"/>
          <w:sz w:val="20"/>
          <w:szCs w:val="20"/>
          <w:shd w:fill="FFFF00" w:val="clear"/>
        </w:rPr>
      </w:pPr>
      <w:r>
        <w:rPr>
          <w:rFonts w:ascii="Verdana" w:hAnsi="Verdana"/>
          <w:sz w:val="20"/>
          <w:szCs w:val="20"/>
          <w:shd w:fill="FFFF00" w:val="clear"/>
        </w:rPr>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t>18. JUSTIFICATIVAS DA VIABILIDADE</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 xml:space="preserve">18.1 </w:t>
      </w:r>
      <w:r>
        <w:rPr>
          <w:rFonts w:cs="Arial" w:ascii="Verdana" w:hAnsi="Verdana"/>
          <w:sz w:val="20"/>
          <w:szCs w:val="20"/>
        </w:rPr>
        <w:t xml:space="preserve">Considerando que o objeto em tela trata-se de iniciativa da Secretaria Municipal de Educação no sentido da </w:t>
      </w:r>
      <w:r>
        <w:rPr>
          <w:rFonts w:cs="Arial" w:ascii="Verdana" w:hAnsi="Verdana"/>
          <w:b/>
          <w:sz w:val="20"/>
          <w:szCs w:val="20"/>
        </w:rPr>
        <w:t>c</w:t>
      </w:r>
      <w:r>
        <w:rPr>
          <w:rFonts w:cs="Arial" w:ascii="Verdana" w:hAnsi="Verdana"/>
          <w:sz w:val="20"/>
          <w:szCs w:val="20"/>
        </w:rPr>
        <w:t>ontratação de empresa especializada, por meio de registro de preços, para a</w:t>
      </w:r>
      <w:r>
        <w:rPr>
          <w:rFonts w:cs="Arial" w:ascii="Verdana" w:hAnsi="Verdana"/>
          <w:b/>
          <w:sz w:val="20"/>
          <w:szCs w:val="20"/>
        </w:rPr>
        <w:t xml:space="preserve"> confecção de uniformes dos servidores da Secretaria de Educação</w:t>
      </w:r>
      <w:r>
        <w:rPr>
          <w:rFonts w:cs="Arial" w:ascii="Verdana" w:hAnsi="Verdana"/>
          <w:sz w:val="20"/>
          <w:szCs w:val="20"/>
        </w:rPr>
        <w:t>, no Município de São Gabriel da Palha.</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 xml:space="preserve">18.2 </w:t>
      </w:r>
      <w:r>
        <w:rPr>
          <w:rFonts w:cs="Arial" w:ascii="Verdana" w:hAnsi="Verdana"/>
          <w:sz w:val="20"/>
          <w:szCs w:val="20"/>
        </w:rPr>
        <w:t xml:space="preserve">A aquisição de uniformes tem como objetivo padronizar a identificação dos profissionais da Secretaria de Educação, promovendo organização, segurança e fortalecimento da imagem institucional. Além disso, os uniformes contribuem para a valorização dos servidores, criando um ambiente de trabalho mais profissional e coeso. </w:t>
      </w:r>
    </w:p>
    <w:p>
      <w:pPr>
        <w:pStyle w:val="Normal"/>
        <w:spacing w:lineRule="auto" w:line="276" w:before="57" w:after="57"/>
        <w:ind w:left="0" w:right="0"/>
        <w:jc w:val="both"/>
        <w:rPr>
          <w:rFonts w:ascii="Verdana" w:hAnsi="Verdana" w:cs="Arial"/>
          <w:sz w:val="20"/>
          <w:szCs w:val="20"/>
        </w:rPr>
      </w:pPr>
      <w:r>
        <w:rPr>
          <w:rFonts w:cs="Arial" w:ascii="Verdana" w:hAnsi="Verdana"/>
          <w:sz w:val="20"/>
          <w:szCs w:val="20"/>
        </w:rPr>
      </w:r>
    </w:p>
    <w:p>
      <w:pPr>
        <w:pStyle w:val="Normal"/>
        <w:spacing w:lineRule="auto" w:line="276" w:before="57" w:after="57"/>
        <w:ind w:left="0" w:right="0"/>
        <w:jc w:val="right"/>
        <w:rPr>
          <w:rFonts w:ascii="Verdana" w:hAnsi="Verdana" w:cs="Arial"/>
          <w:sz w:val="20"/>
          <w:szCs w:val="20"/>
        </w:rPr>
      </w:pPr>
      <w:r>
        <w:rPr>
          <w:rFonts w:cs="Arial" w:ascii="Verdana" w:hAnsi="Verdana"/>
          <w:sz w:val="20"/>
          <w:szCs w:val="20"/>
        </w:rPr>
        <w:t xml:space="preserve">São Gabriel da Palha, 23 de abril de 2025. </w:t>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15. RESPONSÁVEIS</w:t>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t>15.1. Elaborado por:</w:t>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center"/>
        <w:rPr>
          <w:rFonts w:ascii="Verdana" w:hAnsi="Verdana" w:cs="Arial"/>
          <w:b/>
          <w:bCs/>
          <w:sz w:val="20"/>
          <w:szCs w:val="20"/>
        </w:rPr>
      </w:pPr>
      <w:r>
        <w:rPr>
          <w:rFonts w:cs="Arial" w:ascii="Verdana" w:hAnsi="Verdana"/>
          <w:b/>
          <w:bCs/>
          <w:sz w:val="20"/>
          <w:szCs w:val="20"/>
        </w:rPr>
        <w:t>Ana Paula dos Santos Dumer</w:t>
      </w:r>
    </w:p>
    <w:p>
      <w:pPr>
        <w:pStyle w:val="Normal"/>
        <w:spacing w:lineRule="auto" w:line="276" w:before="57" w:after="57"/>
        <w:ind w:left="0" w:right="0"/>
        <w:jc w:val="center"/>
        <w:rPr>
          <w:rFonts w:ascii="Verdana" w:hAnsi="Verdana" w:cs="Arial"/>
          <w:sz w:val="20"/>
          <w:szCs w:val="20"/>
        </w:rPr>
      </w:pPr>
      <w:r>
        <w:rPr>
          <w:rFonts w:cs="Arial" w:ascii="Verdana" w:hAnsi="Verdana"/>
          <w:sz w:val="20"/>
          <w:szCs w:val="20"/>
        </w:rPr>
        <w:t>Assistente Administrativo</w:t>
      </w:r>
    </w:p>
    <w:p>
      <w:pPr>
        <w:pStyle w:val="Normal"/>
        <w:spacing w:lineRule="auto" w:line="276" w:before="57" w:after="57"/>
        <w:ind w:left="0" w:right="0"/>
        <w:jc w:val="center"/>
        <w:rPr>
          <w:rFonts w:ascii="Verdana" w:hAnsi="Verdana" w:cs="Arial"/>
          <w:sz w:val="20"/>
          <w:szCs w:val="20"/>
        </w:rPr>
      </w:pPr>
      <w:r>
        <w:rPr>
          <w:rFonts w:cs="Arial" w:ascii="Verdana" w:hAnsi="Verdana"/>
          <w:sz w:val="20"/>
          <w:szCs w:val="20"/>
        </w:rPr>
        <w:t>Mat. nº 6462</w:t>
      </w:r>
    </w:p>
    <w:p>
      <w:pPr>
        <w:pStyle w:val="Normal"/>
        <w:spacing w:lineRule="auto" w:line="276" w:before="57" w:after="57"/>
        <w:ind w:left="0" w:right="0"/>
        <w:rPr>
          <w:rFonts w:ascii="Verdana" w:hAnsi="Verdana" w:eastAsia="Arial" w:cs="Arial"/>
          <w:b/>
          <w:sz w:val="20"/>
          <w:szCs w:val="20"/>
        </w:rPr>
      </w:pPr>
      <w:r>
        <w:rPr>
          <w:rFonts w:eastAsia="Arial" w:cs="Arial" w:ascii="Verdana" w:hAnsi="Verdana"/>
          <w:b/>
          <w:sz w:val="20"/>
          <w:szCs w:val="20"/>
        </w:rPr>
        <w:t>15.2. Autorizado por:</w:t>
      </w:r>
    </w:p>
    <w:p>
      <w:pPr>
        <w:pStyle w:val="Normal"/>
        <w:spacing w:lineRule="auto" w:line="276" w:before="57" w:after="57"/>
        <w:ind w:left="0" w:right="0"/>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jc w:val="center"/>
        <w:rPr>
          <w:rFonts w:ascii="Verdana" w:hAnsi="Verdana"/>
          <w:b/>
          <w:sz w:val="20"/>
          <w:szCs w:val="20"/>
        </w:rPr>
      </w:pPr>
      <w:r>
        <w:rPr>
          <w:rFonts w:ascii="Verdana" w:hAnsi="Verdana"/>
          <w:b/>
          <w:sz w:val="20"/>
          <w:szCs w:val="20"/>
        </w:rPr>
        <w:t>JANE LISLIE MARTINELLI DOS SANTOS</w:t>
      </w:r>
    </w:p>
    <w:p>
      <w:pPr>
        <w:pStyle w:val="Normal"/>
        <w:spacing w:lineRule="auto" w:line="276" w:before="57" w:after="57"/>
        <w:ind w:left="0" w:right="0"/>
        <w:jc w:val="center"/>
        <w:rPr>
          <w:rFonts w:ascii="Verdana" w:hAnsi="Verdana"/>
          <w:sz w:val="20"/>
          <w:szCs w:val="20"/>
        </w:rPr>
      </w:pPr>
      <w:r>
        <w:rPr>
          <w:rFonts w:ascii="Verdana" w:hAnsi="Verdana"/>
          <w:sz w:val="20"/>
          <w:szCs w:val="20"/>
        </w:rPr>
        <w:t>Secretária Municipal de Educação Interina</w:t>
      </w:r>
    </w:p>
    <w:p>
      <w:pPr>
        <w:pStyle w:val="Normal"/>
        <w:spacing w:lineRule="auto" w:line="276" w:before="57" w:after="57"/>
        <w:ind w:left="0" w:right="0"/>
        <w:jc w:val="center"/>
        <w:rPr>
          <w:rFonts w:ascii="Verdana" w:hAnsi="Verdana"/>
          <w:b/>
          <w:sz w:val="20"/>
          <w:szCs w:val="20"/>
        </w:rPr>
      </w:pPr>
      <w:r>
        <w:rPr>
          <w:rFonts w:ascii="Verdana" w:hAnsi="Verdana"/>
          <w:b/>
          <w:sz w:val="20"/>
          <w:szCs w:val="20"/>
        </w:rPr>
        <w:t>Decreto Nº 4.675/2025</w:t>
      </w:r>
    </w:p>
    <w:p>
      <w:pPr>
        <w:pStyle w:val="Normal"/>
        <w:spacing w:lineRule="auto" w:line="276" w:before="57" w:after="57"/>
        <w:ind w:left="0" w:right="0"/>
        <w:jc w:val="center"/>
        <w:rPr>
          <w:rFonts w:ascii="Verdana" w:hAnsi="Verdana"/>
          <w:b/>
          <w:bCs/>
          <w:sz w:val="20"/>
          <w:szCs w:val="20"/>
        </w:rPr>
      </w:pPr>
      <w:r>
        <w:rPr>
          <w:rFonts w:ascii="Verdana" w:hAnsi="Verdana"/>
          <w:b/>
          <w:bCs/>
          <w:sz w:val="20"/>
          <w:szCs w:val="20"/>
        </w:rPr>
      </w:r>
    </w:p>
    <w:p>
      <w:pPr>
        <w:pStyle w:val="Normal"/>
        <w:spacing w:lineRule="auto" w:line="276" w:before="57" w:after="57"/>
        <w:ind w:left="0" w:right="0"/>
        <w:jc w:val="center"/>
        <w:rPr>
          <w:rFonts w:ascii="Verdana" w:hAnsi="Verdana"/>
          <w:b/>
          <w:bCs/>
          <w:sz w:val="20"/>
          <w:szCs w:val="20"/>
        </w:rPr>
      </w:pPr>
      <w:r>
        <w:rPr>
          <w:rFonts w:ascii="Verdana" w:hAnsi="Verdana"/>
          <w:b/>
          <w:bCs/>
          <w:sz w:val="20"/>
          <w:szCs w:val="20"/>
        </w:rPr>
      </w:r>
    </w:p>
    <w:p>
      <w:pPr>
        <w:pStyle w:val="Normal"/>
        <w:spacing w:lineRule="auto" w:line="276" w:before="57" w:after="57"/>
        <w:ind w:left="0" w:right="0"/>
        <w:jc w:val="center"/>
        <w:rPr>
          <w:rFonts w:ascii="Verdana" w:hAnsi="Verdana"/>
          <w:b/>
          <w:bCs/>
          <w:sz w:val="20"/>
          <w:szCs w:val="20"/>
        </w:rPr>
      </w:pPr>
      <w:r>
        <w:rPr>
          <w:rFonts w:ascii="Verdana" w:hAnsi="Verdana"/>
          <w:b/>
          <w:bCs/>
          <w:sz w:val="20"/>
          <w:szCs w:val="20"/>
        </w:rPr>
      </w:r>
    </w:p>
    <w:p>
      <w:pPr>
        <w:pStyle w:val="Normal"/>
        <w:spacing w:lineRule="auto" w:line="276" w:before="57" w:after="57"/>
        <w:ind w:left="0" w:right="0"/>
        <w:jc w:val="center"/>
        <w:rPr>
          <w:rFonts w:ascii="Verdana" w:hAnsi="Verdana"/>
          <w:b/>
          <w:bCs/>
          <w:sz w:val="20"/>
          <w:szCs w:val="20"/>
        </w:rPr>
      </w:pPr>
      <w:r>
        <w:rPr>
          <w:rFonts w:ascii="Verdana" w:hAnsi="Verdana"/>
          <w:b/>
          <w:bCs/>
          <w:sz w:val="20"/>
          <w:szCs w:val="20"/>
        </w:rPr>
      </w:r>
    </w:p>
    <w:sectPr>
      <w:headerReference w:type="default" r:id="rId2"/>
      <w:footerReference w:type="default" r:id="rId3"/>
      <w:type w:val="nextPage"/>
      <w:pgSz w:w="11906" w:h="16838"/>
      <w:pgMar w:left="1417" w:right="1134" w:gutter="0" w:header="708" w:top="1440" w:footer="438" w:bottom="1013"/>
      <w:pgNumType w:fmt="decimal"/>
      <w:formProt w:val="false"/>
      <w:textDirection w:val="lrTb"/>
      <w:docGrid w:type="default" w:linePitch="360" w:charSpace="901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Tahoma">
    <w:charset w:val="00"/>
    <w:family w:val="roman"/>
    <w:pitch w:val="variable"/>
  </w:font>
  <w:font w:name="Liberation Sans">
    <w:altName w:val="Arial"/>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Courier New">
    <w:charset w:val="00"/>
    <w:family w:val="roman"/>
    <w:pitch w:val="variable"/>
  </w:font>
  <w:font w:name="Univers 45 Light">
    <w:charset w:val="00"/>
    <w:family w:val="roman"/>
    <w:pitch w:val="variable"/>
  </w:font>
  <w:font w:name="Verdana">
    <w:charset w:val="00"/>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cs="Calibri"/>
        <w:b/>
        <w:bCs/>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cs="Times New Roman"/>
        <w:b/>
        <w:bCs/>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10">
          <wp:simplePos x="0" y="0"/>
          <wp:positionH relativeFrom="column">
            <wp:posOffset>-165100</wp:posOffset>
          </wp:positionH>
          <wp:positionV relativeFrom="paragraph">
            <wp:posOffset>-22225</wp:posOffset>
          </wp:positionV>
          <wp:extent cx="644525" cy="542290"/>
          <wp:effectExtent l="0" t="0" r="0" b="0"/>
          <wp:wrapSquare wrapText="bothSides"/>
          <wp:docPr id="1" name="Imagem 1 Copia 1 Copia 1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Copia 1 Copia 1 Copia 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Educação</w:t>
    </w:r>
  </w:p>
  <w:p>
    <w:pPr>
      <w:pStyle w:val="Normal"/>
      <w:jc w:val="center"/>
      <w:rPr>
        <w:rFonts w:ascii="Arial Narrow" w:hAnsi="Arial Narrow" w:cs="Arial Narrow"/>
        <w:b/>
        <w:sz w:val="22"/>
        <w:szCs w:val="22"/>
      </w:rPr>
    </w:pPr>
    <w:r>
      <w:rPr/>
    </w:r>
  </w:p>
  <w:p>
    <w:pPr>
      <w:pStyle w:val="Normal"/>
      <w:jc w:val="center"/>
      <w:rPr>
        <w:rFonts w:ascii="Arial Narrow" w:hAnsi="Arial Narrow" w:cs="Arial Narrow"/>
        <w:b/>
        <w:sz w:val="22"/>
        <w:szCs w:val="22"/>
      </w:rPr>
    </w:pPr>
    <w:r>
      <w:rPr/>
    </w:r>
  </w:p>
</w:hdr>
</file>

<file path=word/settings.xml><?xml version="1.0" encoding="utf-8"?>
<w:settings xmlns:w="http://schemas.openxmlformats.org/wordprocessingml/2006/main">
  <w:zoom w:percent="120"/>
  <w:displayBackgroundShape/>
  <w:embedSystemFonts/>
  <w:defaultTabStop w:val="720"/>
  <w:autoHyphenation w:val="true"/>
  <w:hyphenationZone w:val="425"/>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link w:val="Ttulo1Char"/>
    <w:qFormat/>
    <w:pPr>
      <w:keepNext w:val="true"/>
      <w:numPr>
        <w:ilvl w:val="0"/>
        <w:numId w:val="0"/>
      </w:numPr>
      <w:tabs>
        <w:tab w:val="clear" w:pos="720"/>
        <w:tab w:val="left" w:pos="0" w:leader="none"/>
      </w:tabs>
      <w:overflowPunct w:val="true"/>
      <w:ind w:hanging="432" w:left="432"/>
      <w:jc w:val="center"/>
      <w:textAlignment w:val="baseline"/>
      <w:outlineLvl w:val="0"/>
    </w:pPr>
    <w:rPr>
      <w:b/>
      <w:bCs/>
      <w:sz w:val="24"/>
    </w:rPr>
  </w:style>
  <w:style w:type="paragraph" w:styleId="Heading2">
    <w:name w:val="Heading 2"/>
    <w:basedOn w:val="Normal"/>
    <w:next w:val="Normal"/>
    <w:link w:val="Ttulo2Char"/>
    <w:qFormat/>
    <w:pPr>
      <w:keepNext w:val="true"/>
      <w:numPr>
        <w:ilvl w:val="0"/>
        <w:numId w:val="0"/>
      </w:numPr>
      <w:tabs>
        <w:tab w:val="clear" w:pos="720"/>
        <w:tab w:val="left" w:pos="0" w:leader="none"/>
      </w:tabs>
      <w:ind w:hanging="576" w:left="576"/>
      <w:outlineLvl w:val="1"/>
    </w:pPr>
    <w:rPr>
      <w:b/>
      <w:bCs/>
      <w:sz w:val="24"/>
      <w:u w:val="single"/>
    </w:rPr>
  </w:style>
  <w:style w:type="paragraph" w:styleId="Heading3">
    <w:name w:val="Heading 3"/>
    <w:basedOn w:val="Normal"/>
    <w:next w:val="Normal"/>
    <w:qFormat/>
    <w:pPr>
      <w:keepNext w:val="true"/>
      <w:numPr>
        <w:ilvl w:val="0"/>
        <w:numId w:val="0"/>
      </w:numPr>
      <w:suppressAutoHyphens w:val="false"/>
      <w:jc w:val="both"/>
      <w:outlineLvl w:val="2"/>
    </w:pPr>
    <w:rPr>
      <w:b/>
      <w:color w:val="00000A"/>
    </w:rPr>
  </w:style>
  <w:style w:type="paragraph" w:styleId="Heading4">
    <w:name w:val="Heading 4"/>
    <w:basedOn w:val="Normal"/>
    <w:next w:val="Normal"/>
    <w:link w:val="Ttulo4Char"/>
    <w:qFormat/>
    <w:pPr>
      <w:keepNext w:val="true"/>
      <w:numPr>
        <w:ilvl w:val="0"/>
        <w:numId w:val="0"/>
      </w:numPr>
      <w:tabs>
        <w:tab w:val="clear" w:pos="720"/>
        <w:tab w:val="left" w:pos="0" w:leader="none"/>
      </w:tabs>
      <w:ind w:hanging="864" w:left="864"/>
      <w:outlineLvl w:val="3"/>
    </w:pPr>
    <w:rPr>
      <w:sz w:val="24"/>
    </w:rPr>
  </w:style>
  <w:style w:type="paragraph" w:styleId="Heading8">
    <w:name w:val="Heading 8"/>
    <w:basedOn w:val="Normal"/>
    <w:next w:val="Normal"/>
    <w:qFormat/>
    <w:pPr>
      <w:numPr>
        <w:ilvl w:val="0"/>
        <w:numId w:val="0"/>
      </w:numPr>
      <w:tabs>
        <w:tab w:val="clear" w:pos="720"/>
        <w:tab w:val="left" w:pos="0" w:leader="none"/>
      </w:tabs>
      <w:spacing w:before="240" w:after="60"/>
      <w:ind w:hanging="1440" w:left="144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Times New Roman" w:hAnsi="Times New Roman" w:cs="Courier New"/>
      <w:b/>
      <w:bCs/>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link w:val="BalloonText"/>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Pr>
      <w:vertAlign w:val="superscri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Arial"/>
    </w:rPr>
  </w:style>
  <w:style w:type="paragraph" w:styleId="Title">
    <w:name w:val="Title"/>
    <w:basedOn w:val="Normal"/>
    <w:next w:val="BodyText"/>
    <w:link w:val="TtuloChar1"/>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link w:val="CabealhoChar1"/>
    <w:pPr>
      <w:tabs>
        <w:tab w:val="clear" w:pos="720"/>
        <w:tab w:val="center" w:pos="4419" w:leader="none"/>
        <w:tab w:val="right" w:pos="8838" w:leader="none"/>
      </w:tabs>
      <w:overflowPunct w:val="true"/>
      <w:textAlignment w:val="baseline"/>
    </w:pPr>
    <w:rPr>
      <w:sz w:val="24"/>
    </w:rPr>
  </w:style>
  <w:style w:type="paragraph" w:styleId="Footer">
    <w:name w:val="Footer"/>
    <w:basedOn w:val="Normal"/>
    <w:link w:val="RodapChar1"/>
    <w:pPr>
      <w:tabs>
        <w:tab w:val="clear" w:pos="720"/>
        <w:tab w:val="center" w:pos="4419" w:leader="none"/>
        <w:tab w:val="right" w:pos="8838" w:leader="none"/>
      </w:tabs>
      <w:overflowPunct w:val="true"/>
      <w:textAlignment w:val="baseline"/>
    </w:pPr>
    <w:rPr>
      <w:sz w:val="24"/>
    </w:rPr>
  </w:style>
  <w:style w:type="paragraph" w:styleId="BalloonText">
    <w:name w:val="Balloon Text"/>
    <w:basedOn w:val="Normal"/>
    <w:link w:val="TextodebaloChar1"/>
    <w:qFormat/>
    <w:pPr/>
    <w:rPr>
      <w:rFonts w:ascii="Tahoma" w:hAnsi="Tahoma" w:cs="Tahoma"/>
      <w:sz w:val="16"/>
      <w:szCs w:val="16"/>
    </w:rPr>
  </w:style>
  <w:style w:type="paragraph" w:styleId="FootnoteText">
    <w:name w:val="Footnote Text"/>
    <w:basedOn w:val="Normal"/>
    <w:link w:val="TextodenotaderodapChar"/>
    <w:pPr/>
    <w:rPr/>
  </w:style>
  <w:style w:type="paragraph" w:styleId="ListParagraph">
    <w:name w:val="List Paragraph"/>
    <w:basedOn w:val="Normal"/>
    <w:qFormat/>
    <w:pPr>
      <w:spacing w:lineRule="auto" w:line="276" w:before="0" w:after="200"/>
      <w:ind w:left="720"/>
    </w:pPr>
    <w:rPr>
      <w:rFonts w:ascii="Calibri" w:hAnsi="Calibri" w:eastAsia="Calibri" w:cs="Calibri"/>
      <w:sz w:val="22"/>
      <w:szCs w:val="22"/>
    </w:rPr>
  </w:style>
  <w:style w:type="paragraph" w:styleId="Default">
    <w:name w:val="Default"/>
    <w:qFormat/>
    <w:pPr>
      <w:widowControl/>
      <w:suppressAutoHyphens w:val="true"/>
      <w:kinsoku w:val="true"/>
      <w:overflowPunct w:val="true"/>
      <w:autoSpaceDE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etabela"/>
    <w:qFormat/>
    <w:pPr>
      <w:jc w:val="center"/>
    </w:pPr>
    <w:rPr>
      <w:b/>
      <w:bCs/>
    </w:rPr>
  </w:style>
  <w:style w:type="paragraph" w:styleId="Recuodecorpodetexto31">
    <w:name w:val="Recuo de corpo de texto 31"/>
    <w:basedOn w:val="Normal"/>
    <w:qFormat/>
    <w:pPr>
      <w:suppressAutoHyphens w:val="false"/>
      <w:spacing w:before="0" w:after="120"/>
      <w:ind w:left="283"/>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20"/>
        <w:tab w:val="left" w:pos="1418" w:leader="none"/>
        <w:tab w:val="left" w:pos="1985" w:leader="none"/>
        <w:tab w:val="left" w:pos="2552" w:leader="none"/>
        <w:tab w:val="left" w:pos="3402" w:leader="none"/>
        <w:tab w:val="left" w:pos="4253" w:leader="none"/>
        <w:tab w:val="left" w:pos="4820" w:leader="none"/>
      </w:tabs>
      <w:suppressAutoHyphens w:val="true"/>
      <w:kinsoku w:val="true"/>
      <w:overflowPunct w:val="true"/>
      <w:autoSpaceDE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numbering" w:styleId="Semlista">
    <w:name w:val="Sem lista"/>
    <w:qFormat/>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1978</TotalTime>
  <Application>LibreOffice/24.2.6.2$Windows_X86_64 LibreOffice_project/ef66aa7e36a1bb8e65bfbc63aba53045a14d0871</Application>
  <AppVersion>15.0000</AppVersion>
  <Pages>9</Pages>
  <Words>3406</Words>
  <Characters>18097</Characters>
  <CharactersWithSpaces>21250</CharactersWithSpaces>
  <Paragraphs>282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2025-04-23T10:40:42Z</cp:lastPrinted>
  <dcterms:modified xsi:type="dcterms:W3CDTF">2025-06-09T18:00:47Z</dcterms:modified>
  <cp:revision>129</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